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F"/>
  <w:body>
    <w:p w14:paraId="305888D8" w14:textId="1B939EF6" w:rsidR="00275ECB" w:rsidRDefault="00275ECB" w:rsidP="00275ECB">
      <w:pPr>
        <w:pStyle w:val="Heading1"/>
      </w:pPr>
      <w:r w:rsidRPr="00D32CDA">
        <w:t>Beijer Ref</w:t>
      </w:r>
    </w:p>
    <w:p w14:paraId="0945F87F" w14:textId="77777777" w:rsidR="00275ECB" w:rsidRPr="00275ECB" w:rsidRDefault="00275ECB" w:rsidP="00275ECB">
      <w:pPr>
        <w:spacing w:after="0"/>
        <w:rPr>
          <w:lang w:val="en-GB" w:eastAsia="sv-SE"/>
        </w:rPr>
      </w:pPr>
    </w:p>
    <w:p w14:paraId="4F868363" w14:textId="76E14F12" w:rsidR="00275ECB" w:rsidRPr="003B6959" w:rsidRDefault="00275ECB" w:rsidP="00275ECB">
      <w:pPr>
        <w:pStyle w:val="Heading1"/>
      </w:pPr>
      <w:r>
        <w:t>Remuneration report 2020</w:t>
      </w:r>
    </w:p>
    <w:p w14:paraId="766B3A4A" w14:textId="7D4C3448" w:rsidR="00275ECB" w:rsidRPr="006D70F5" w:rsidRDefault="00275ECB" w:rsidP="00275ECB">
      <w:pPr>
        <w:rPr>
          <w:lang w:val="en-GB"/>
        </w:rPr>
      </w:pPr>
      <w:r>
        <w:rPr>
          <w:noProof/>
        </w:rPr>
        <mc:AlternateContent>
          <mc:Choice Requires="wps">
            <w:drawing>
              <wp:anchor distT="0" distB="0" distL="114300" distR="114300" simplePos="0" relativeHeight="251659264" behindDoc="0" locked="0" layoutInCell="1" allowOverlap="1" wp14:anchorId="52061287" wp14:editId="237FEA4C">
                <wp:simplePos x="0" y="0"/>
                <wp:positionH relativeFrom="margin">
                  <wp:posOffset>2355850</wp:posOffset>
                </wp:positionH>
                <wp:positionV relativeFrom="margin">
                  <wp:posOffset>789940</wp:posOffset>
                </wp:positionV>
                <wp:extent cx="1066800" cy="45085"/>
                <wp:effectExtent l="0" t="0" r="19050" b="120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5085"/>
                        </a:xfrm>
                        <a:prstGeom prst="rect">
                          <a:avLst/>
                        </a:prstGeom>
                        <a:solidFill>
                          <a:srgbClr val="023450"/>
                        </a:solidFill>
                        <a:ln w="25400" cap="sq" cmpd="sng" algn="ctr">
                          <a:solidFill>
                            <a:srgbClr val="0234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8F6A71" id="Rectangle 2" o:spid="_x0000_s1026" style="position:absolute;margin-left:185.5pt;margin-top:62.2pt;width:84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" fillcolor="#023450" strokecolor="#023450" strokeweight="2pt">
                <v:stroke endcap="square"/>
                <v:path arrowok="t"/>
                <w10:wrap type="square" anchorx="margin" anchory="margin"/>
              </v:rect>
            </w:pict>
          </mc:Fallback>
        </mc:AlternateContent>
      </w:r>
    </w:p>
    <w:p w14:paraId="5A60E38A" w14:textId="639C474E" w:rsidR="00275ECB" w:rsidRDefault="00275ECB">
      <w:pPr>
        <w:rPr>
          <w:rFonts w:ascii="Roboto" w:hAnsi="Roboto"/>
          <w:b/>
          <w:bCs/>
          <w:sz w:val="24"/>
          <w:szCs w:val="24"/>
          <w:lang w:val="en-GB"/>
        </w:rPr>
      </w:pPr>
    </w:p>
    <w:p w14:paraId="1E132CD3" w14:textId="0DE5CCB7" w:rsidR="00B127E1" w:rsidRPr="0036643D" w:rsidRDefault="00B127E1">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Introduction</w:t>
      </w:r>
    </w:p>
    <w:p w14:paraId="13AEFD22" w14:textId="47E3508D" w:rsidR="0018199A" w:rsidRPr="0036643D" w:rsidRDefault="00B127E1">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This r</w:t>
      </w:r>
      <w:r w:rsidR="0018199A" w:rsidRPr="0036643D">
        <w:rPr>
          <w:rFonts w:ascii="Roboto" w:eastAsia="Calibri" w:hAnsi="Roboto" w:cs="Times New Roman"/>
          <w:color w:val="023450"/>
          <w:lang w:val="en-GB" w:eastAsia="sv-SE"/>
        </w:rPr>
        <w:t>emune</w:t>
      </w:r>
      <w:r w:rsidRPr="0036643D">
        <w:rPr>
          <w:rFonts w:ascii="Roboto" w:eastAsia="Calibri" w:hAnsi="Roboto" w:cs="Times New Roman"/>
          <w:color w:val="023450"/>
          <w:lang w:val="en-GB" w:eastAsia="sv-SE"/>
        </w:rPr>
        <w:t>ration report provides an outline of how Beijer Ref’s guidelines for executive remuneration (the “remuneration guidelines”), adopted by the annual general meeting 2020</w:t>
      </w:r>
      <w:r w:rsidR="00C91C14" w:rsidRPr="0036643D">
        <w:rPr>
          <w:rFonts w:ascii="Roboto" w:eastAsia="Calibri" w:hAnsi="Roboto" w:cs="Times New Roman"/>
          <w:color w:val="023450"/>
          <w:lang w:val="en-GB" w:eastAsia="sv-SE"/>
        </w:rPr>
        <w:t>,</w:t>
      </w:r>
      <w:r w:rsidR="00870E59" w:rsidRPr="0036643D">
        <w:rPr>
          <w:rFonts w:ascii="Roboto" w:eastAsia="Calibri" w:hAnsi="Roboto" w:cs="Times New Roman"/>
          <w:color w:val="023450"/>
          <w:lang w:val="en-GB" w:eastAsia="sv-SE"/>
        </w:rPr>
        <w:t xml:space="preserve"> have been </w:t>
      </w:r>
      <w:r w:rsidR="00C91C14" w:rsidRPr="0036643D">
        <w:rPr>
          <w:rFonts w:ascii="Roboto" w:eastAsia="Calibri" w:hAnsi="Roboto" w:cs="Times New Roman"/>
          <w:color w:val="023450"/>
          <w:lang w:val="en-GB" w:eastAsia="sv-SE"/>
        </w:rPr>
        <w:t>implemented</w:t>
      </w:r>
      <w:r w:rsidR="00870E59" w:rsidRPr="0036643D">
        <w:rPr>
          <w:rFonts w:ascii="Roboto" w:eastAsia="Calibri" w:hAnsi="Roboto" w:cs="Times New Roman"/>
          <w:color w:val="023450"/>
          <w:lang w:val="en-GB" w:eastAsia="sv-SE"/>
        </w:rPr>
        <w:t xml:space="preserve"> in</w:t>
      </w:r>
      <w:r w:rsidR="00C91C14" w:rsidRPr="0036643D">
        <w:rPr>
          <w:rFonts w:ascii="Roboto" w:eastAsia="Calibri" w:hAnsi="Roboto" w:cs="Times New Roman"/>
          <w:color w:val="023450"/>
          <w:lang w:val="en-GB" w:eastAsia="sv-SE"/>
        </w:rPr>
        <w:t xml:space="preserve"> 2020</w:t>
      </w:r>
      <w:r w:rsidRPr="0036643D">
        <w:rPr>
          <w:rFonts w:ascii="Roboto" w:eastAsia="Calibri" w:hAnsi="Roboto" w:cs="Times New Roman"/>
          <w:color w:val="023450"/>
          <w:lang w:val="en-GB" w:eastAsia="sv-SE"/>
        </w:rPr>
        <w:t>. The report also provides details on the remuneration of Beijer Ref’s CEO. In addition, the report contains a summary of Beijer Ref’s outstanding share and share-price related incentive programs. The report has been prepared in compliance with the Swedish Companies Act</w:t>
      </w:r>
      <w:r w:rsidR="00C91C14" w:rsidRPr="0036643D">
        <w:rPr>
          <w:rFonts w:ascii="Roboto" w:eastAsia="Calibri" w:hAnsi="Roboto" w:cs="Times New Roman"/>
          <w:color w:val="023450"/>
          <w:lang w:val="en-GB" w:eastAsia="sv-SE"/>
        </w:rPr>
        <w:t xml:space="preserve"> and the Remuneration Rules issued by the Swedish Corporate Governance Board.</w:t>
      </w:r>
      <w:r w:rsidRPr="0036643D">
        <w:rPr>
          <w:rFonts w:ascii="Roboto" w:eastAsia="Calibri" w:hAnsi="Roboto" w:cs="Times New Roman"/>
          <w:color w:val="023450"/>
          <w:lang w:val="en-GB" w:eastAsia="sv-SE"/>
        </w:rPr>
        <w:t xml:space="preserve"> </w:t>
      </w:r>
    </w:p>
    <w:p w14:paraId="7DAC3366" w14:textId="769605E3" w:rsidR="0018199A" w:rsidRPr="0036643D" w:rsidRDefault="00C91C14">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Further i</w:t>
      </w:r>
      <w:r w:rsidR="0018199A" w:rsidRPr="0036643D">
        <w:rPr>
          <w:rFonts w:ascii="Roboto" w:eastAsia="Calibri" w:hAnsi="Roboto" w:cs="Times New Roman"/>
          <w:color w:val="023450"/>
          <w:lang w:val="en-GB" w:eastAsia="sv-SE"/>
        </w:rPr>
        <w:t xml:space="preserve">nformation </w:t>
      </w:r>
      <w:r w:rsidRPr="0036643D">
        <w:rPr>
          <w:rFonts w:ascii="Roboto" w:eastAsia="Calibri" w:hAnsi="Roboto" w:cs="Times New Roman"/>
          <w:color w:val="023450"/>
          <w:lang w:val="en-GB" w:eastAsia="sv-SE"/>
        </w:rPr>
        <w:t xml:space="preserve">on executive remuneration is available in note 6 (Employees and remuneration of employees) on page </w:t>
      </w:r>
      <w:r w:rsidR="00747122" w:rsidRPr="0036643D">
        <w:rPr>
          <w:rFonts w:ascii="Roboto" w:eastAsia="Calibri" w:hAnsi="Roboto" w:cs="Times New Roman"/>
          <w:color w:val="023450"/>
          <w:lang w:val="en-GB" w:eastAsia="sv-SE"/>
        </w:rPr>
        <w:t>88</w:t>
      </w:r>
      <w:r w:rsidRPr="0036643D">
        <w:rPr>
          <w:rFonts w:ascii="Roboto" w:eastAsia="Calibri" w:hAnsi="Roboto" w:cs="Times New Roman"/>
          <w:color w:val="023450"/>
          <w:lang w:val="en-GB" w:eastAsia="sv-SE"/>
        </w:rPr>
        <w:t>-</w:t>
      </w:r>
      <w:r w:rsidR="00747122" w:rsidRPr="0036643D">
        <w:rPr>
          <w:rFonts w:ascii="Roboto" w:eastAsia="Calibri" w:hAnsi="Roboto" w:cs="Times New Roman"/>
          <w:color w:val="023450"/>
          <w:lang w:val="en-GB" w:eastAsia="sv-SE"/>
        </w:rPr>
        <w:t>89</w:t>
      </w:r>
      <w:r w:rsidRPr="0036643D">
        <w:rPr>
          <w:rFonts w:ascii="Roboto" w:eastAsia="Calibri" w:hAnsi="Roboto" w:cs="Times New Roman"/>
          <w:color w:val="023450"/>
          <w:lang w:val="en-GB" w:eastAsia="sv-SE"/>
        </w:rPr>
        <w:t xml:space="preserve"> in the annual report 2020.</w:t>
      </w:r>
      <w:r w:rsidR="0018199A" w:rsidRPr="0036643D">
        <w:rPr>
          <w:rFonts w:ascii="Roboto" w:eastAsia="Calibri" w:hAnsi="Roboto" w:cs="Times New Roman"/>
          <w:color w:val="023450"/>
          <w:lang w:val="en-GB" w:eastAsia="sv-SE"/>
        </w:rPr>
        <w:t xml:space="preserve"> Information on the work of the remuneration committee in 2020 is set out in the corporate governance </w:t>
      </w:r>
      <w:r w:rsidR="00747122" w:rsidRPr="0036643D">
        <w:rPr>
          <w:rFonts w:ascii="Roboto" w:eastAsia="Calibri" w:hAnsi="Roboto" w:cs="Times New Roman"/>
          <w:color w:val="023450"/>
          <w:lang w:val="en-GB" w:eastAsia="sv-SE"/>
        </w:rPr>
        <w:t>report and</w:t>
      </w:r>
      <w:r w:rsidR="0018199A" w:rsidRPr="0036643D">
        <w:rPr>
          <w:rFonts w:ascii="Roboto" w:eastAsia="Calibri" w:hAnsi="Roboto" w:cs="Times New Roman"/>
          <w:color w:val="023450"/>
          <w:lang w:val="en-GB" w:eastAsia="sv-SE"/>
        </w:rPr>
        <w:t xml:space="preserve"> is available on p. </w:t>
      </w:r>
      <w:r w:rsidR="00747122" w:rsidRPr="0036643D">
        <w:rPr>
          <w:rFonts w:ascii="Roboto" w:eastAsia="Calibri" w:hAnsi="Roboto" w:cs="Times New Roman"/>
          <w:color w:val="023450"/>
          <w:lang w:val="en-GB" w:eastAsia="sv-SE"/>
        </w:rPr>
        <w:t>62</w:t>
      </w:r>
      <w:r w:rsidR="0018199A" w:rsidRPr="0036643D">
        <w:rPr>
          <w:rFonts w:ascii="Roboto" w:eastAsia="Calibri" w:hAnsi="Roboto" w:cs="Times New Roman"/>
          <w:color w:val="023450"/>
          <w:lang w:val="en-GB" w:eastAsia="sv-SE"/>
        </w:rPr>
        <w:t xml:space="preserve"> in the annual report 2020.</w:t>
      </w:r>
    </w:p>
    <w:p w14:paraId="75F5B828" w14:textId="746CDF68" w:rsidR="0018199A" w:rsidRPr="0036643D" w:rsidRDefault="0018199A">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Remuneration of the board of directors is not covered by this report. Such remuneration is resolved annually by the annual general meeting and disclosed in not</w:t>
      </w:r>
      <w:r w:rsidR="00C91C14" w:rsidRPr="0036643D">
        <w:rPr>
          <w:rFonts w:ascii="Roboto" w:eastAsia="Calibri" w:hAnsi="Roboto" w:cs="Times New Roman"/>
          <w:color w:val="023450"/>
          <w:lang w:val="en-GB" w:eastAsia="sv-SE"/>
        </w:rPr>
        <w:t>e</w:t>
      </w:r>
      <w:r w:rsidRPr="0036643D">
        <w:rPr>
          <w:rFonts w:ascii="Roboto" w:eastAsia="Calibri" w:hAnsi="Roboto" w:cs="Times New Roman"/>
          <w:color w:val="023450"/>
          <w:lang w:val="en-GB" w:eastAsia="sv-SE"/>
        </w:rPr>
        <w:t xml:space="preserve"> </w:t>
      </w:r>
      <w:r w:rsidR="00747122" w:rsidRPr="0036643D">
        <w:rPr>
          <w:rFonts w:ascii="Roboto" w:eastAsia="Calibri" w:hAnsi="Roboto" w:cs="Times New Roman"/>
          <w:color w:val="023450"/>
          <w:lang w:val="en-GB" w:eastAsia="sv-SE"/>
        </w:rPr>
        <w:t>6</w:t>
      </w:r>
      <w:r w:rsidRPr="0036643D">
        <w:rPr>
          <w:rFonts w:ascii="Roboto" w:eastAsia="Calibri" w:hAnsi="Roboto" w:cs="Times New Roman"/>
          <w:color w:val="023450"/>
          <w:lang w:val="en-GB" w:eastAsia="sv-SE"/>
        </w:rPr>
        <w:t xml:space="preserve"> on p. </w:t>
      </w:r>
      <w:r w:rsidR="00747122" w:rsidRPr="0036643D">
        <w:rPr>
          <w:rFonts w:ascii="Roboto" w:eastAsia="Calibri" w:hAnsi="Roboto" w:cs="Times New Roman"/>
          <w:color w:val="023450"/>
          <w:lang w:val="en-GB" w:eastAsia="sv-SE"/>
        </w:rPr>
        <w:t>88-89</w:t>
      </w:r>
      <w:r w:rsidRPr="0036643D">
        <w:rPr>
          <w:rFonts w:ascii="Roboto" w:eastAsia="Calibri" w:hAnsi="Roboto" w:cs="Times New Roman"/>
          <w:color w:val="023450"/>
          <w:lang w:val="en-GB" w:eastAsia="sv-SE"/>
        </w:rPr>
        <w:t xml:space="preserve"> in the annual report 2020. </w:t>
      </w:r>
    </w:p>
    <w:p w14:paraId="0FC3820F" w14:textId="77777777" w:rsidR="0036643D" w:rsidRPr="0036643D" w:rsidRDefault="0036643D">
      <w:pPr>
        <w:rPr>
          <w:rFonts w:ascii="Roboto" w:eastAsia="Calibri" w:hAnsi="Roboto" w:cs="Times New Roman"/>
          <w:color w:val="023450"/>
          <w:lang w:val="en-GB" w:eastAsia="sv-SE"/>
        </w:rPr>
      </w:pPr>
    </w:p>
    <w:p w14:paraId="480CC0F1" w14:textId="50971743" w:rsidR="0018199A" w:rsidRPr="0036643D" w:rsidRDefault="0018199A">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Key Developments 2020</w:t>
      </w:r>
    </w:p>
    <w:p w14:paraId="119DD5CB" w14:textId="1E1FE2C2" w:rsidR="0018199A" w:rsidRPr="0036643D" w:rsidRDefault="00C91C14" w:rsidP="00C91C14">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The CEO summarizes the company’s overall performance in his statement on p</w:t>
      </w:r>
      <w:r w:rsidR="00747122" w:rsidRPr="0036643D">
        <w:rPr>
          <w:rFonts w:ascii="Roboto" w:eastAsia="Calibri" w:hAnsi="Roboto" w:cs="Times New Roman"/>
          <w:color w:val="023450"/>
          <w:lang w:val="en-GB" w:eastAsia="sv-SE"/>
        </w:rPr>
        <w:t>.</w:t>
      </w:r>
      <w:r w:rsidRPr="0036643D">
        <w:rPr>
          <w:rFonts w:ascii="Roboto" w:eastAsia="Calibri" w:hAnsi="Roboto" w:cs="Times New Roman"/>
          <w:color w:val="023450"/>
          <w:lang w:val="en-GB" w:eastAsia="sv-SE"/>
        </w:rPr>
        <w:t xml:space="preserve"> </w:t>
      </w:r>
      <w:r w:rsidR="00747122" w:rsidRPr="0036643D">
        <w:rPr>
          <w:rFonts w:ascii="Roboto" w:eastAsia="Calibri" w:hAnsi="Roboto" w:cs="Times New Roman"/>
          <w:color w:val="023450"/>
          <w:lang w:val="en-GB" w:eastAsia="sv-SE"/>
        </w:rPr>
        <w:t>9</w:t>
      </w:r>
      <w:r w:rsidR="00870E59" w:rsidRPr="0036643D">
        <w:rPr>
          <w:rFonts w:ascii="Roboto" w:eastAsia="Calibri" w:hAnsi="Roboto" w:cs="Times New Roman"/>
          <w:color w:val="023450"/>
          <w:lang w:val="en-GB" w:eastAsia="sv-SE"/>
        </w:rPr>
        <w:t>-1</w:t>
      </w:r>
      <w:r w:rsidR="00747122" w:rsidRPr="0036643D">
        <w:rPr>
          <w:rFonts w:ascii="Roboto" w:eastAsia="Calibri" w:hAnsi="Roboto" w:cs="Times New Roman"/>
          <w:color w:val="023450"/>
          <w:lang w:val="en-GB" w:eastAsia="sv-SE"/>
        </w:rPr>
        <w:t>1</w:t>
      </w:r>
      <w:r w:rsidRPr="0036643D">
        <w:rPr>
          <w:rFonts w:ascii="Roboto" w:eastAsia="Calibri" w:hAnsi="Roboto" w:cs="Times New Roman"/>
          <w:color w:val="023450"/>
          <w:lang w:val="en-GB" w:eastAsia="sv-SE"/>
        </w:rPr>
        <w:t xml:space="preserve"> in the annual report 2020.</w:t>
      </w:r>
    </w:p>
    <w:p w14:paraId="5CFBD9FE" w14:textId="447E3DC6" w:rsidR="006D4CD9" w:rsidRPr="0036643D" w:rsidRDefault="006D4CD9">
      <w:pPr>
        <w:rPr>
          <w:rFonts w:ascii="Roboto" w:eastAsia="Calibri" w:hAnsi="Roboto" w:cs="Times New Roman"/>
          <w:color w:val="023450"/>
          <w:lang w:val="en-GB" w:eastAsia="sv-SE"/>
        </w:rPr>
      </w:pPr>
    </w:p>
    <w:p w14:paraId="3A14A09C" w14:textId="61AD2691" w:rsidR="001761BC" w:rsidRPr="0036643D" w:rsidRDefault="001761BC">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The company’s remuneration guidelines: scope, purpose and deviations</w:t>
      </w:r>
    </w:p>
    <w:p w14:paraId="5BFB7CF9" w14:textId="5EB1921C" w:rsidR="006D4CD9" w:rsidRPr="0036643D" w:rsidRDefault="001761BC">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The aim of Beijer Ref’s remuneration policy for senior executives is to offer competitive and market-based remuneration, so that competent and skilled employees can be attracted, motivated and retained. These guidelines allow Beijer Ref to offer the executives a competitive total remuneration. Under the guidelines, executive remuneration shall be on market terms and may consist of the following components: fixed salary, variable cash remuneration, pension benefits and other benefits.</w:t>
      </w:r>
      <w:r w:rsidR="004B7574" w:rsidRPr="0036643D">
        <w:rPr>
          <w:rFonts w:ascii="Roboto" w:eastAsia="Calibri" w:hAnsi="Roboto" w:cs="Times New Roman"/>
          <w:color w:val="023450"/>
          <w:lang w:val="en-GB" w:eastAsia="sv-SE"/>
        </w:rPr>
        <w:t xml:space="preserve"> Variable cash remuneration shall be based on predetermined, well-defined and measurable financial target for the group and at group and individual level such as profit growth, sales growth and change in working capital.</w:t>
      </w:r>
      <w:r w:rsidR="005A6DE3">
        <w:rPr>
          <w:rFonts w:ascii="Roboto" w:eastAsia="Calibri" w:hAnsi="Roboto" w:cs="Times New Roman"/>
          <w:color w:val="023450"/>
          <w:lang w:val="en-GB" w:eastAsia="sv-SE"/>
        </w:rPr>
        <w:t xml:space="preserve"> For 2020 there was</w:t>
      </w:r>
      <w:r w:rsidR="00AF5F54">
        <w:rPr>
          <w:rFonts w:ascii="Roboto" w:eastAsia="Calibri" w:hAnsi="Roboto" w:cs="Times New Roman"/>
          <w:color w:val="023450"/>
          <w:lang w:val="en-GB" w:eastAsia="sv-SE"/>
        </w:rPr>
        <w:t xml:space="preserve"> generally</w:t>
      </w:r>
      <w:r w:rsidR="005A6DE3">
        <w:rPr>
          <w:rFonts w:ascii="Roboto" w:eastAsia="Calibri" w:hAnsi="Roboto" w:cs="Times New Roman"/>
          <w:color w:val="023450"/>
          <w:lang w:val="en-GB" w:eastAsia="sv-SE"/>
        </w:rPr>
        <w:t xml:space="preserve"> a low variable cash remuneration due to the pandemic.</w:t>
      </w:r>
    </w:p>
    <w:p w14:paraId="59BB232C" w14:textId="519DB3FE" w:rsidR="006D4CD9" w:rsidRPr="0036643D" w:rsidRDefault="003654D0">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 xml:space="preserve">The guidelines, adopted by the annual general meeting 2020, can be found on p. </w:t>
      </w:r>
      <w:r w:rsidR="00287E70" w:rsidRPr="0036643D">
        <w:rPr>
          <w:rFonts w:ascii="Roboto" w:eastAsia="Calibri" w:hAnsi="Roboto" w:cs="Times New Roman"/>
          <w:color w:val="023450"/>
          <w:lang w:val="en-GB" w:eastAsia="sv-SE"/>
        </w:rPr>
        <w:t>62</w:t>
      </w:r>
      <w:r w:rsidRPr="0036643D">
        <w:rPr>
          <w:rFonts w:ascii="Roboto" w:eastAsia="Calibri" w:hAnsi="Roboto" w:cs="Times New Roman"/>
          <w:color w:val="023450"/>
          <w:lang w:val="en-GB" w:eastAsia="sv-SE"/>
        </w:rPr>
        <w:t xml:space="preserve"> in the annual report 2020. The auditor’s report regarding whether the company has complied with the guidelines is available on the company’s website </w:t>
      </w:r>
      <w:hyperlink r:id="rId7" w:history="1">
        <w:r w:rsidR="00287E70" w:rsidRPr="006D70F5">
          <w:rPr>
            <w:rFonts w:ascii="Roboto" w:eastAsia="Calibri" w:hAnsi="Roboto" w:cs="Times New Roman"/>
            <w:color w:val="023450"/>
            <w:lang w:val="en-GB" w:eastAsia="sv-SE"/>
          </w:rPr>
          <w:t>General meeting - Beijer Ref (English)</w:t>
        </w:r>
      </w:hyperlink>
      <w:r w:rsidRPr="0036643D">
        <w:rPr>
          <w:rFonts w:ascii="Roboto" w:eastAsia="Calibri" w:hAnsi="Roboto" w:cs="Times New Roman"/>
          <w:color w:val="023450"/>
          <w:lang w:val="en-GB" w:eastAsia="sv-SE"/>
        </w:rPr>
        <w:t>.</w:t>
      </w:r>
    </w:p>
    <w:p w14:paraId="0EF0B003" w14:textId="429D2148" w:rsidR="003654D0" w:rsidRPr="0036643D" w:rsidRDefault="003654D0">
      <w:pPr>
        <w:rPr>
          <w:rFonts w:ascii="Roboto" w:eastAsia="Calibri" w:hAnsi="Roboto" w:cs="Times New Roman"/>
          <w:color w:val="023450"/>
          <w:lang w:val="en-GB" w:eastAsia="sv-SE"/>
        </w:rPr>
      </w:pPr>
    </w:p>
    <w:p w14:paraId="48AEBB31" w14:textId="77777777" w:rsidR="0036643D" w:rsidRDefault="0036643D">
      <w:pPr>
        <w:rPr>
          <w:rFonts w:ascii="Roboto" w:eastAsia="Calibri" w:hAnsi="Roboto" w:cs="Times New Roman"/>
          <w:b/>
          <w:bCs/>
          <w:color w:val="023450"/>
          <w:lang w:val="en-GB" w:eastAsia="sv-SE"/>
        </w:rPr>
      </w:pPr>
    </w:p>
    <w:p w14:paraId="3B5CEF99" w14:textId="11CF9D1F" w:rsidR="00331CCC" w:rsidRPr="0036643D" w:rsidRDefault="002209C5">
      <w:pPr>
        <w:rPr>
          <w:rFonts w:ascii="Roboto" w:eastAsia="Calibri" w:hAnsi="Roboto" w:cs="Times New Roman"/>
          <w:color w:val="023450"/>
          <w:lang w:val="en-GB" w:eastAsia="sv-SE"/>
        </w:rPr>
      </w:pPr>
      <w:r w:rsidRPr="0036643D">
        <w:rPr>
          <w:rFonts w:ascii="Roboto" w:eastAsia="Calibri" w:hAnsi="Roboto" w:cs="Times New Roman"/>
          <w:b/>
          <w:bCs/>
          <w:color w:val="023450"/>
          <w:lang w:val="en-GB" w:eastAsia="sv-SE"/>
        </w:rPr>
        <w:lastRenderedPageBreak/>
        <w:t>Total remuneration of the CEO</w:t>
      </w:r>
      <w:r w:rsidR="00B30BB1" w:rsidRPr="0036643D">
        <w:rPr>
          <w:rFonts w:ascii="Roboto" w:eastAsia="Calibri" w:hAnsi="Roboto" w:cs="Times New Roman"/>
          <w:b/>
          <w:bCs/>
          <w:color w:val="023450"/>
          <w:lang w:val="en-GB" w:eastAsia="sv-SE"/>
        </w:rPr>
        <w:t xml:space="preserve"> in 2020 (kSEK)</w:t>
      </w:r>
    </w:p>
    <w:tbl>
      <w:tblPr>
        <w:tblStyle w:val="TableGrid"/>
        <w:tblW w:w="0" w:type="auto"/>
        <w:tblLook w:val="04A0" w:firstRow="1" w:lastRow="0" w:firstColumn="1" w:lastColumn="0" w:noHBand="0" w:noVBand="1"/>
      </w:tblPr>
      <w:tblGrid>
        <w:gridCol w:w="1838"/>
        <w:gridCol w:w="992"/>
        <w:gridCol w:w="1276"/>
        <w:gridCol w:w="992"/>
        <w:gridCol w:w="1315"/>
        <w:gridCol w:w="1338"/>
        <w:gridCol w:w="1311"/>
      </w:tblGrid>
      <w:tr w:rsidR="0036643D" w:rsidRPr="0036643D" w14:paraId="21E13289" w14:textId="77777777" w:rsidTr="0036643D">
        <w:tc>
          <w:tcPr>
            <w:tcW w:w="1838" w:type="dxa"/>
          </w:tcPr>
          <w:p w14:paraId="26B5B48E" w14:textId="77777777" w:rsidR="00275ECB" w:rsidRPr="0036643D" w:rsidRDefault="00275ECB" w:rsidP="00275ECB">
            <w:pPr>
              <w:jc w:val="center"/>
              <w:rPr>
                <w:rFonts w:ascii="Roboto" w:eastAsia="Calibri" w:hAnsi="Roboto" w:cs="Times New Roman"/>
                <w:color w:val="023450"/>
                <w:lang w:val="en-GB" w:eastAsia="sv-SE"/>
              </w:rPr>
            </w:pPr>
          </w:p>
        </w:tc>
        <w:tc>
          <w:tcPr>
            <w:tcW w:w="992" w:type="dxa"/>
          </w:tcPr>
          <w:p w14:paraId="23DC5FF6" w14:textId="17B1F20D"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Base salary</w:t>
            </w:r>
          </w:p>
        </w:tc>
        <w:tc>
          <w:tcPr>
            <w:tcW w:w="1276" w:type="dxa"/>
          </w:tcPr>
          <w:p w14:paraId="585A38EE" w14:textId="11396589"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Other benefits</w:t>
            </w:r>
          </w:p>
        </w:tc>
        <w:tc>
          <w:tcPr>
            <w:tcW w:w="992" w:type="dxa"/>
          </w:tcPr>
          <w:p w14:paraId="1846F721" w14:textId="251CB5BE"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One-year variable</w:t>
            </w:r>
          </w:p>
        </w:tc>
        <w:tc>
          <w:tcPr>
            <w:tcW w:w="1315" w:type="dxa"/>
          </w:tcPr>
          <w:p w14:paraId="75835958" w14:textId="1BC1DB73"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Pension expense</w:t>
            </w:r>
          </w:p>
        </w:tc>
        <w:tc>
          <w:tcPr>
            <w:tcW w:w="1338" w:type="dxa"/>
          </w:tcPr>
          <w:p w14:paraId="4B077330" w14:textId="0512603B"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Total Remuneration</w:t>
            </w:r>
          </w:p>
        </w:tc>
        <w:tc>
          <w:tcPr>
            <w:tcW w:w="1311" w:type="dxa"/>
          </w:tcPr>
          <w:p w14:paraId="77DAD9C4" w14:textId="5D07ED7B"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Proportion fixed/variable</w:t>
            </w:r>
          </w:p>
        </w:tc>
      </w:tr>
      <w:tr w:rsidR="0036643D" w:rsidRPr="0036643D" w14:paraId="461962BB" w14:textId="77777777" w:rsidTr="0036643D">
        <w:tc>
          <w:tcPr>
            <w:tcW w:w="1838" w:type="dxa"/>
          </w:tcPr>
          <w:p w14:paraId="575C6ED6" w14:textId="0E033387" w:rsidR="00275ECB" w:rsidRPr="0036643D" w:rsidRDefault="00275ECB">
            <w:pP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Per Bertland, CEO</w:t>
            </w:r>
          </w:p>
        </w:tc>
        <w:tc>
          <w:tcPr>
            <w:tcW w:w="992" w:type="dxa"/>
          </w:tcPr>
          <w:p w14:paraId="1014E302" w14:textId="0D47F7E2"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5,953</w:t>
            </w:r>
          </w:p>
        </w:tc>
        <w:tc>
          <w:tcPr>
            <w:tcW w:w="1276" w:type="dxa"/>
          </w:tcPr>
          <w:p w14:paraId="0C558059" w14:textId="093CAEC8"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145</w:t>
            </w:r>
          </w:p>
        </w:tc>
        <w:tc>
          <w:tcPr>
            <w:tcW w:w="992" w:type="dxa"/>
          </w:tcPr>
          <w:p w14:paraId="472987C9" w14:textId="15F29309"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400</w:t>
            </w:r>
          </w:p>
        </w:tc>
        <w:tc>
          <w:tcPr>
            <w:tcW w:w="1315" w:type="dxa"/>
          </w:tcPr>
          <w:p w14:paraId="1F4AFF5D" w14:textId="11A1FBE3"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1,786</w:t>
            </w:r>
          </w:p>
        </w:tc>
        <w:tc>
          <w:tcPr>
            <w:tcW w:w="1338" w:type="dxa"/>
          </w:tcPr>
          <w:p w14:paraId="1B33685B" w14:textId="044229B2"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8,284</w:t>
            </w:r>
          </w:p>
        </w:tc>
        <w:tc>
          <w:tcPr>
            <w:tcW w:w="1311" w:type="dxa"/>
          </w:tcPr>
          <w:p w14:paraId="1E372F2C" w14:textId="170751F3"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95/5</w:t>
            </w:r>
          </w:p>
        </w:tc>
      </w:tr>
    </w:tbl>
    <w:p w14:paraId="54588FE1" w14:textId="27CF2F8B" w:rsidR="00281E62" w:rsidRDefault="00281E62">
      <w:pPr>
        <w:rPr>
          <w:rFonts w:ascii="Roboto" w:eastAsia="Calibri" w:hAnsi="Roboto" w:cs="Times New Roman"/>
          <w:color w:val="023450"/>
          <w:lang w:val="en-GB" w:eastAsia="sv-SE"/>
        </w:rPr>
      </w:pPr>
    </w:p>
    <w:p w14:paraId="525FB26C" w14:textId="7A2C4D7B" w:rsidR="0036643D" w:rsidRPr="0036643D" w:rsidRDefault="0036643D">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The CEO, Per Bertland, has received a base salary of SEK 5,953K (incl vacation pay) and other benefits amounting to SEK 145K. He has also received a bonus payment of SEK 400K. An annual amount equivalent to 30 per cent of his gross salary is appropriated to a pension insurance scheme (SEK 1,786K). The pension is contribution based. This equals to a total amount of SEK 8,284K, where the proportion of fixed and variable nomination is 95/5. During 2020 the CEO decreased his salary with 5% during 5 months as a part of a saving package connected to Covid 19.</w:t>
      </w:r>
      <w:r w:rsidR="005A6DE3">
        <w:rPr>
          <w:rFonts w:ascii="Roboto" w:eastAsia="Calibri" w:hAnsi="Roboto" w:cs="Times New Roman"/>
          <w:color w:val="023450"/>
          <w:lang w:val="en-GB" w:eastAsia="sv-SE"/>
        </w:rPr>
        <w:t xml:space="preserve"> </w:t>
      </w:r>
      <w:r w:rsidR="00BA367F">
        <w:rPr>
          <w:rFonts w:ascii="Roboto" w:eastAsia="Calibri" w:hAnsi="Roboto" w:cs="Times New Roman"/>
          <w:color w:val="023450"/>
          <w:lang w:val="en-GB" w:eastAsia="sv-SE"/>
        </w:rPr>
        <w:t>The CEO did not receive any remuneration from another entity within the Group.</w:t>
      </w:r>
    </w:p>
    <w:p w14:paraId="7C92467F" w14:textId="77777777" w:rsidR="004653EE" w:rsidRPr="0036643D" w:rsidRDefault="004653EE">
      <w:pPr>
        <w:rPr>
          <w:rFonts w:ascii="Roboto" w:eastAsia="Calibri" w:hAnsi="Roboto" w:cs="Times New Roman"/>
          <w:color w:val="023450"/>
          <w:lang w:val="en-GB" w:eastAsia="sv-SE"/>
        </w:rPr>
      </w:pPr>
    </w:p>
    <w:p w14:paraId="0411533E" w14:textId="1DAC785D" w:rsidR="00947E17" w:rsidRPr="0036643D" w:rsidRDefault="00947E17">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Share based remuneration</w:t>
      </w:r>
    </w:p>
    <w:p w14:paraId="3C5CE884" w14:textId="3F349957" w:rsidR="00947E17" w:rsidRPr="0036643D" w:rsidRDefault="00947E17">
      <w:pPr>
        <w:rPr>
          <w:rFonts w:ascii="Roboto" w:eastAsia="Calibri" w:hAnsi="Roboto" w:cs="Times New Roman"/>
          <w:color w:val="023450"/>
          <w:u w:val="single"/>
          <w:lang w:val="en-GB" w:eastAsia="sv-SE"/>
        </w:rPr>
      </w:pPr>
      <w:r w:rsidRPr="0036643D">
        <w:rPr>
          <w:rFonts w:ascii="Roboto" w:eastAsia="Calibri" w:hAnsi="Roboto" w:cs="Times New Roman"/>
          <w:color w:val="023450"/>
          <w:u w:val="single"/>
          <w:lang w:val="en-GB" w:eastAsia="sv-SE"/>
        </w:rPr>
        <w:t>Outstanding share and share/price related incentive programs.</w:t>
      </w:r>
    </w:p>
    <w:p w14:paraId="5FEB6BDB" w14:textId="09E01DA4" w:rsidR="00EA1F31" w:rsidRPr="0036643D" w:rsidRDefault="00EA1F31">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Beijer Ref AB’s long term incentive programme was approved by the shareholders at the annual general meeting in 2018. The program, which was adopted by 57 persons, meant that the participants had the opportunity to acquire, at market price, call options in respect of Beijer Ref AB (publ) class B shares and that in connection with the transfer of the call options the participants received a subsidy</w:t>
      </w:r>
      <w:r w:rsidR="007E3DB8" w:rsidRPr="0036643D">
        <w:rPr>
          <w:rFonts w:ascii="Roboto" w:eastAsia="Calibri" w:hAnsi="Roboto" w:cs="Times New Roman"/>
          <w:color w:val="023450"/>
          <w:lang w:val="en-GB" w:eastAsia="sv-SE"/>
        </w:rPr>
        <w:t xml:space="preserve"> in the form of a gross salary supplement corresponding to 50 per cent of the premium paid for the options. The incentive program runs between 2018 and 2021 and in total, the participants in the program acquired 890,000 options.</w:t>
      </w:r>
      <w:r w:rsidRPr="0036643D">
        <w:rPr>
          <w:rFonts w:ascii="Roboto" w:eastAsia="Calibri" w:hAnsi="Roboto" w:cs="Times New Roman"/>
          <w:color w:val="023450"/>
          <w:lang w:val="en-GB" w:eastAsia="sv-SE"/>
        </w:rPr>
        <w:t xml:space="preserve"> </w:t>
      </w:r>
    </w:p>
    <w:p w14:paraId="34E65472" w14:textId="3AA0010A" w:rsidR="00D339E4" w:rsidRPr="0036643D" w:rsidRDefault="00D339E4">
      <w:pPr>
        <w:rPr>
          <w:rFonts w:ascii="Roboto" w:eastAsia="Calibri" w:hAnsi="Roboto" w:cs="Times New Roman"/>
          <w:color w:val="023450"/>
          <w:u w:val="single"/>
          <w:lang w:val="en-GB" w:eastAsia="sv-SE"/>
        </w:rPr>
      </w:pPr>
      <w:r w:rsidRPr="0036643D">
        <w:rPr>
          <w:rFonts w:ascii="Roboto" w:eastAsia="Calibri" w:hAnsi="Roboto" w:cs="Times New Roman"/>
          <w:color w:val="023450"/>
          <w:u w:val="single"/>
          <w:lang w:val="en-GB" w:eastAsia="sv-SE"/>
        </w:rPr>
        <w:t>Remuneration of the CEO in shares and share options</w:t>
      </w:r>
    </w:p>
    <w:p w14:paraId="581D1FD1" w14:textId="77777777" w:rsidR="007E3DB8" w:rsidRPr="0036643D" w:rsidRDefault="007E3DB8" w:rsidP="007E3DB8">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The CEO participates in the incentive program with 30.000 options.</w:t>
      </w:r>
    </w:p>
    <w:p w14:paraId="454E55AB" w14:textId="77777777" w:rsidR="009857FB" w:rsidRPr="0036643D" w:rsidRDefault="009857FB" w:rsidP="0096204D">
      <w:pPr>
        <w:rPr>
          <w:rFonts w:ascii="Roboto" w:eastAsia="Calibri" w:hAnsi="Roboto" w:cs="Times New Roman"/>
          <w:color w:val="023450"/>
          <w:lang w:val="en-GB" w:eastAsia="sv-SE"/>
        </w:rPr>
      </w:pPr>
    </w:p>
    <w:p w14:paraId="041E7419" w14:textId="24C270C7" w:rsidR="0096204D" w:rsidRPr="0036643D" w:rsidRDefault="0096204D" w:rsidP="0096204D">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Application of performance criteria</w:t>
      </w:r>
    </w:p>
    <w:p w14:paraId="6871661B" w14:textId="569408E3" w:rsidR="0096204D" w:rsidRPr="0036643D" w:rsidRDefault="0096204D" w:rsidP="0096204D">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 xml:space="preserve">The performance measures for the CEO’s variable remuneration </w:t>
      </w:r>
      <w:r w:rsidR="0036643D">
        <w:rPr>
          <w:rFonts w:ascii="Roboto" w:eastAsia="Calibri" w:hAnsi="Roboto" w:cs="Times New Roman"/>
          <w:color w:val="023450"/>
          <w:lang w:val="en-GB" w:eastAsia="sv-SE"/>
        </w:rPr>
        <w:t>are</w:t>
      </w:r>
      <w:r w:rsidRPr="0036643D">
        <w:rPr>
          <w:rFonts w:ascii="Roboto" w:eastAsia="Calibri" w:hAnsi="Roboto" w:cs="Times New Roman"/>
          <w:color w:val="023450"/>
          <w:lang w:val="en-GB" w:eastAsia="sv-SE"/>
        </w:rPr>
        <w:t xml:space="preserve"> based on three variables: net sales growth, net profit growth and cash convention improvement</w:t>
      </w:r>
      <w:r w:rsidR="006E6DD2" w:rsidRPr="0036643D">
        <w:rPr>
          <w:rFonts w:ascii="Roboto" w:eastAsia="Calibri" w:hAnsi="Roboto" w:cs="Times New Roman"/>
          <w:color w:val="023450"/>
          <w:lang w:val="en-GB" w:eastAsia="sv-SE"/>
        </w:rPr>
        <w:t xml:space="preserve">, where net profit represent 50 per cent of the relative weighting and the other two 25 per cent each. The CEO </w:t>
      </w:r>
      <w:r w:rsidR="005B1E95" w:rsidRPr="0036643D">
        <w:rPr>
          <w:rFonts w:ascii="Roboto" w:eastAsia="Calibri" w:hAnsi="Roboto" w:cs="Times New Roman"/>
          <w:color w:val="023450"/>
          <w:lang w:val="en-GB" w:eastAsia="sv-SE"/>
        </w:rPr>
        <w:t>can</w:t>
      </w:r>
      <w:r w:rsidR="006E6DD2" w:rsidRPr="0036643D">
        <w:rPr>
          <w:rFonts w:ascii="Roboto" w:eastAsia="Calibri" w:hAnsi="Roboto" w:cs="Times New Roman"/>
          <w:color w:val="023450"/>
          <w:lang w:val="en-GB" w:eastAsia="sv-SE"/>
        </w:rPr>
        <w:t xml:space="preserve"> receive a maximum amount equal to 55 per cent of annual salary.</w:t>
      </w:r>
    </w:p>
    <w:p w14:paraId="58ED5AD5" w14:textId="77777777" w:rsidR="009857FB" w:rsidRPr="0036643D" w:rsidRDefault="009857FB">
      <w:pPr>
        <w:rPr>
          <w:rFonts w:ascii="Roboto" w:eastAsia="Calibri" w:hAnsi="Roboto" w:cs="Times New Roman"/>
          <w:color w:val="023450"/>
          <w:lang w:val="en-GB" w:eastAsia="sv-SE"/>
        </w:rPr>
      </w:pPr>
    </w:p>
    <w:p w14:paraId="7F3C775A" w14:textId="69395E8E" w:rsidR="00200133" w:rsidRPr="0036643D" w:rsidRDefault="00200133">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Compliance with the remuneration guidelines and application of performance criteria</w:t>
      </w:r>
    </w:p>
    <w:p w14:paraId="7420E9C7" w14:textId="374E593A" w:rsidR="0051448F" w:rsidRPr="0036643D" w:rsidRDefault="00200133">
      <w:pPr>
        <w:rPr>
          <w:rFonts w:ascii="Roboto" w:eastAsia="Calibri" w:hAnsi="Roboto" w:cs="Times New Roman"/>
          <w:color w:val="023450"/>
          <w:lang w:val="en-GB" w:eastAsia="sv-SE"/>
        </w:rPr>
      </w:pPr>
      <w:r w:rsidRPr="0036643D">
        <w:rPr>
          <w:rFonts w:ascii="Roboto" w:eastAsia="Calibri" w:hAnsi="Roboto" w:cs="Times New Roman"/>
          <w:color w:val="023450"/>
          <w:lang w:val="en-GB" w:eastAsia="sv-SE"/>
        </w:rPr>
        <w:t xml:space="preserve">A prerequisite for the successful implementation of the company’s business strategy and safeguarding of its long-term interests, including its sustainability, is that the company </w:t>
      </w:r>
      <w:r w:rsidR="007E3DB8" w:rsidRPr="0036643D">
        <w:rPr>
          <w:rFonts w:ascii="Roboto" w:eastAsia="Calibri" w:hAnsi="Roboto" w:cs="Times New Roman"/>
          <w:color w:val="023450"/>
          <w:lang w:val="en-GB" w:eastAsia="sv-SE"/>
        </w:rPr>
        <w:t>can</w:t>
      </w:r>
      <w:r w:rsidRPr="0036643D">
        <w:rPr>
          <w:rFonts w:ascii="Roboto" w:eastAsia="Calibri" w:hAnsi="Roboto" w:cs="Times New Roman"/>
          <w:color w:val="023450"/>
          <w:lang w:val="en-GB" w:eastAsia="sv-SE"/>
        </w:rPr>
        <w:t xml:space="preserve"> recruit and retain qualified personnel. To this end, it is necessary that the company offers competitive remuneration. Beijer Ref’s remuneration guidelines enable the company to offer the CEO a competitive total remuneration. Total remuneration of the CEO during 2020 has complied with the company’s remuneration guidelines. </w:t>
      </w:r>
    </w:p>
    <w:p w14:paraId="2DC21E2A" w14:textId="77777777" w:rsidR="0036643D" w:rsidRDefault="0036643D">
      <w:pPr>
        <w:rPr>
          <w:rFonts w:ascii="Roboto" w:eastAsia="Calibri" w:hAnsi="Roboto" w:cs="Times New Roman"/>
          <w:b/>
          <w:bCs/>
          <w:color w:val="023450"/>
          <w:lang w:val="en-GB" w:eastAsia="sv-SE"/>
        </w:rPr>
      </w:pPr>
    </w:p>
    <w:p w14:paraId="6344471A" w14:textId="77777777" w:rsidR="0036643D" w:rsidRDefault="0036643D">
      <w:pPr>
        <w:rPr>
          <w:rFonts w:ascii="Roboto" w:eastAsia="Calibri" w:hAnsi="Roboto" w:cs="Times New Roman"/>
          <w:b/>
          <w:bCs/>
          <w:color w:val="023450"/>
          <w:lang w:val="en-GB" w:eastAsia="sv-SE"/>
        </w:rPr>
      </w:pPr>
    </w:p>
    <w:p w14:paraId="727549A3" w14:textId="6422361A" w:rsidR="000E25B8" w:rsidRDefault="000E25B8">
      <w:pPr>
        <w:rPr>
          <w:rFonts w:ascii="Roboto" w:eastAsia="Calibri" w:hAnsi="Roboto" w:cs="Times New Roman"/>
          <w:b/>
          <w:bCs/>
          <w:color w:val="023450"/>
          <w:lang w:val="en-GB" w:eastAsia="sv-SE"/>
        </w:rPr>
      </w:pPr>
      <w:r w:rsidRPr="0036643D">
        <w:rPr>
          <w:rFonts w:ascii="Roboto" w:eastAsia="Calibri" w:hAnsi="Roboto" w:cs="Times New Roman"/>
          <w:b/>
          <w:bCs/>
          <w:color w:val="023450"/>
          <w:lang w:val="en-GB" w:eastAsia="sv-SE"/>
        </w:rPr>
        <w:t>Comparative information on the change of remuneration and company performance</w:t>
      </w:r>
    </w:p>
    <w:p w14:paraId="652173DD" w14:textId="442512E4" w:rsidR="006D70F5" w:rsidRPr="006D70F5" w:rsidRDefault="006D70F5">
      <w:pPr>
        <w:rPr>
          <w:rFonts w:ascii="Roboto" w:eastAsia="Calibri" w:hAnsi="Roboto" w:cs="Times New Roman"/>
          <w:color w:val="023450"/>
          <w:lang w:val="en-GB" w:eastAsia="sv-SE"/>
        </w:rPr>
      </w:pPr>
      <w:r>
        <w:rPr>
          <w:rFonts w:ascii="Roboto" w:eastAsia="Calibri" w:hAnsi="Roboto" w:cs="Times New Roman"/>
          <w:color w:val="023450"/>
          <w:lang w:val="en-GB" w:eastAsia="sv-SE"/>
        </w:rPr>
        <w:t>Below you will find the change of remuneration during the last five years for CEO and average employee in EU. You will also find actual numbers for 2020.</w:t>
      </w:r>
    </w:p>
    <w:tbl>
      <w:tblPr>
        <w:tblStyle w:val="TableGrid"/>
        <w:tblW w:w="9776" w:type="dxa"/>
        <w:tblLayout w:type="fixed"/>
        <w:tblLook w:val="04A0" w:firstRow="1" w:lastRow="0" w:firstColumn="1" w:lastColumn="0" w:noHBand="0" w:noVBand="1"/>
      </w:tblPr>
      <w:tblGrid>
        <w:gridCol w:w="3114"/>
        <w:gridCol w:w="1134"/>
        <w:gridCol w:w="1134"/>
        <w:gridCol w:w="1134"/>
        <w:gridCol w:w="1134"/>
        <w:gridCol w:w="1134"/>
        <w:gridCol w:w="992"/>
      </w:tblGrid>
      <w:tr w:rsidR="00BA367F" w:rsidRPr="0036643D" w14:paraId="3A8BB276" w14:textId="0A44FE72" w:rsidTr="005E1D5D">
        <w:tc>
          <w:tcPr>
            <w:tcW w:w="3114" w:type="dxa"/>
          </w:tcPr>
          <w:p w14:paraId="23908AF4" w14:textId="77777777" w:rsidR="00281E62" w:rsidRPr="0036643D" w:rsidRDefault="00281E62">
            <w:pPr>
              <w:rPr>
                <w:rFonts w:ascii="Roboto" w:eastAsia="Calibri" w:hAnsi="Roboto" w:cs="Times New Roman"/>
                <w:color w:val="023450"/>
                <w:lang w:val="en-GB" w:eastAsia="sv-SE"/>
              </w:rPr>
            </w:pPr>
            <w:bookmarkStart w:id="0" w:name="_Hlk65752238"/>
          </w:p>
        </w:tc>
        <w:tc>
          <w:tcPr>
            <w:tcW w:w="1134" w:type="dxa"/>
          </w:tcPr>
          <w:p w14:paraId="7B2F704E" w14:textId="37BE990F"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2015</w:t>
            </w:r>
            <w:r w:rsidR="006D70F5">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2016</w:t>
            </w:r>
          </w:p>
        </w:tc>
        <w:tc>
          <w:tcPr>
            <w:tcW w:w="1134" w:type="dxa"/>
          </w:tcPr>
          <w:p w14:paraId="65F44CFB" w14:textId="27E29D28"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2016</w:t>
            </w:r>
            <w:r w:rsidR="006D70F5">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2017</w:t>
            </w:r>
          </w:p>
        </w:tc>
        <w:tc>
          <w:tcPr>
            <w:tcW w:w="1134" w:type="dxa"/>
          </w:tcPr>
          <w:p w14:paraId="683A21B5" w14:textId="2C9299C5"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2017</w:t>
            </w:r>
            <w:r w:rsidR="006D70F5">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2018</w:t>
            </w:r>
          </w:p>
        </w:tc>
        <w:tc>
          <w:tcPr>
            <w:tcW w:w="1134" w:type="dxa"/>
          </w:tcPr>
          <w:p w14:paraId="192C0582" w14:textId="12AE96B0"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2018</w:t>
            </w:r>
            <w:r w:rsidR="006D70F5">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2019</w:t>
            </w:r>
          </w:p>
        </w:tc>
        <w:tc>
          <w:tcPr>
            <w:tcW w:w="1134" w:type="dxa"/>
          </w:tcPr>
          <w:p w14:paraId="48DBFD28" w14:textId="5466727D"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2019</w:t>
            </w:r>
            <w:r w:rsidR="006D70F5">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2020</w:t>
            </w:r>
          </w:p>
        </w:tc>
        <w:tc>
          <w:tcPr>
            <w:tcW w:w="992" w:type="dxa"/>
          </w:tcPr>
          <w:p w14:paraId="13E2065A" w14:textId="602C26A8"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2020</w:t>
            </w:r>
            <w:r w:rsidR="006D70F5">
              <w:rPr>
                <w:rFonts w:ascii="Roboto" w:eastAsia="Calibri" w:hAnsi="Roboto" w:cs="Times New Roman"/>
                <w:color w:val="023450"/>
                <w:sz w:val="16"/>
                <w:szCs w:val="16"/>
                <w:lang w:val="en-GB" w:eastAsia="sv-SE"/>
              </w:rPr>
              <w:t xml:space="preserve"> actual</w:t>
            </w:r>
          </w:p>
        </w:tc>
      </w:tr>
      <w:tr w:rsidR="00BA367F" w:rsidRPr="0036643D" w14:paraId="6D2EB129" w14:textId="611A613E" w:rsidTr="005E1D5D">
        <w:tc>
          <w:tcPr>
            <w:tcW w:w="3114" w:type="dxa"/>
          </w:tcPr>
          <w:p w14:paraId="1E74F492" w14:textId="37567AAC"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Group operating profit</w:t>
            </w:r>
          </w:p>
        </w:tc>
        <w:tc>
          <w:tcPr>
            <w:tcW w:w="1134" w:type="dxa"/>
          </w:tcPr>
          <w:p w14:paraId="07D73EF6" w14:textId="0BACE4F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4.6%</w:t>
            </w:r>
          </w:p>
        </w:tc>
        <w:tc>
          <w:tcPr>
            <w:tcW w:w="1134" w:type="dxa"/>
          </w:tcPr>
          <w:p w14:paraId="67972680" w14:textId="02D982D9"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22.2%</w:t>
            </w:r>
          </w:p>
        </w:tc>
        <w:tc>
          <w:tcPr>
            <w:tcW w:w="1134" w:type="dxa"/>
          </w:tcPr>
          <w:p w14:paraId="2CACF31D" w14:textId="6D7D768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49.7%</w:t>
            </w:r>
          </w:p>
        </w:tc>
        <w:tc>
          <w:tcPr>
            <w:tcW w:w="1134" w:type="dxa"/>
          </w:tcPr>
          <w:p w14:paraId="01F7679F" w14:textId="01380B2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13.4%</w:t>
            </w:r>
          </w:p>
        </w:tc>
        <w:tc>
          <w:tcPr>
            <w:tcW w:w="1134" w:type="dxa"/>
          </w:tcPr>
          <w:p w14:paraId="0B4EE833" w14:textId="5E0FE0D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-16%</w:t>
            </w:r>
          </w:p>
        </w:tc>
        <w:tc>
          <w:tcPr>
            <w:tcW w:w="992" w:type="dxa"/>
          </w:tcPr>
          <w:p w14:paraId="4C116A5A" w14:textId="2BB1FAF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035</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566</w:t>
            </w:r>
          </w:p>
        </w:tc>
      </w:tr>
      <w:tr w:rsidR="00BA367F" w:rsidRPr="0036643D" w14:paraId="5563EFA6" w14:textId="5329EEF0" w:rsidTr="005E1D5D">
        <w:tc>
          <w:tcPr>
            <w:tcW w:w="3114" w:type="dxa"/>
          </w:tcPr>
          <w:p w14:paraId="1C4A24EC" w14:textId="574FF1DC"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CEO base &amp; benefits</w:t>
            </w:r>
          </w:p>
        </w:tc>
        <w:tc>
          <w:tcPr>
            <w:tcW w:w="1134" w:type="dxa"/>
          </w:tcPr>
          <w:p w14:paraId="63773338" w14:textId="1246AE4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1134" w:type="dxa"/>
          </w:tcPr>
          <w:p w14:paraId="6EF4E21A" w14:textId="5BE7177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w:t>
            </w:r>
          </w:p>
        </w:tc>
        <w:tc>
          <w:tcPr>
            <w:tcW w:w="1134" w:type="dxa"/>
          </w:tcPr>
          <w:p w14:paraId="4392FBD4" w14:textId="529BD09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10%</w:t>
            </w:r>
          </w:p>
        </w:tc>
        <w:tc>
          <w:tcPr>
            <w:tcW w:w="1134" w:type="dxa"/>
          </w:tcPr>
          <w:p w14:paraId="78D3BB92" w14:textId="617141A9"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w:t>
            </w:r>
          </w:p>
        </w:tc>
        <w:tc>
          <w:tcPr>
            <w:tcW w:w="1134" w:type="dxa"/>
          </w:tcPr>
          <w:p w14:paraId="6DCFBBC9" w14:textId="07FCF8C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3%</w:t>
            </w:r>
          </w:p>
        </w:tc>
        <w:tc>
          <w:tcPr>
            <w:tcW w:w="992" w:type="dxa"/>
          </w:tcPr>
          <w:p w14:paraId="0AC04AC7" w14:textId="391397D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6.098</w:t>
            </w:r>
          </w:p>
        </w:tc>
      </w:tr>
      <w:tr w:rsidR="00BA367F" w:rsidRPr="0036643D" w14:paraId="4FBD96F1" w14:textId="0E0162C0" w:rsidTr="005E1D5D">
        <w:tc>
          <w:tcPr>
            <w:tcW w:w="3114" w:type="dxa"/>
          </w:tcPr>
          <w:p w14:paraId="51B16077" w14:textId="1631E6D4"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CEO variable remuneration</w:t>
            </w:r>
          </w:p>
        </w:tc>
        <w:tc>
          <w:tcPr>
            <w:tcW w:w="1134" w:type="dxa"/>
          </w:tcPr>
          <w:p w14:paraId="1CCEA3AD" w14:textId="7EB743A8"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-52%</w:t>
            </w:r>
          </w:p>
        </w:tc>
        <w:tc>
          <w:tcPr>
            <w:tcW w:w="1134" w:type="dxa"/>
          </w:tcPr>
          <w:p w14:paraId="3E69F3A6" w14:textId="1DD3FB3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208%</w:t>
            </w:r>
          </w:p>
        </w:tc>
        <w:tc>
          <w:tcPr>
            <w:tcW w:w="1134" w:type="dxa"/>
          </w:tcPr>
          <w:p w14:paraId="01B4EBF1" w14:textId="71B2950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18%</w:t>
            </w:r>
          </w:p>
        </w:tc>
        <w:tc>
          <w:tcPr>
            <w:tcW w:w="1134" w:type="dxa"/>
          </w:tcPr>
          <w:p w14:paraId="14CC3EB7" w14:textId="4046349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7A8EB4DE" w14:textId="26CFDCC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-87</w:t>
            </w:r>
          </w:p>
        </w:tc>
        <w:tc>
          <w:tcPr>
            <w:tcW w:w="992" w:type="dxa"/>
          </w:tcPr>
          <w:p w14:paraId="66362AE7" w14:textId="2C9543BF"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400</w:t>
            </w:r>
          </w:p>
        </w:tc>
      </w:tr>
      <w:tr w:rsidR="00BA367F" w:rsidRPr="0036643D" w14:paraId="795AB08D" w14:textId="4718C0E0" w:rsidTr="005E1D5D">
        <w:tc>
          <w:tcPr>
            <w:tcW w:w="3114" w:type="dxa"/>
          </w:tcPr>
          <w:p w14:paraId="0ABCF313" w14:textId="6F654AF9"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CEO Total remuneration</w:t>
            </w:r>
          </w:p>
        </w:tc>
        <w:tc>
          <w:tcPr>
            <w:tcW w:w="1134" w:type="dxa"/>
          </w:tcPr>
          <w:p w14:paraId="0DC5E0A5" w14:textId="6B739E0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-9%</w:t>
            </w:r>
          </w:p>
        </w:tc>
        <w:tc>
          <w:tcPr>
            <w:tcW w:w="1134" w:type="dxa"/>
          </w:tcPr>
          <w:p w14:paraId="7B47D8AC" w14:textId="4D82292A"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32%</w:t>
            </w:r>
          </w:p>
        </w:tc>
        <w:tc>
          <w:tcPr>
            <w:tcW w:w="1134" w:type="dxa"/>
          </w:tcPr>
          <w:p w14:paraId="0E50381D" w14:textId="15721A2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12%</w:t>
            </w:r>
          </w:p>
        </w:tc>
        <w:tc>
          <w:tcPr>
            <w:tcW w:w="1134" w:type="dxa"/>
          </w:tcPr>
          <w:p w14:paraId="36857B17" w14:textId="55615714"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w:t>
            </w:r>
          </w:p>
        </w:tc>
        <w:tc>
          <w:tcPr>
            <w:tcW w:w="1134" w:type="dxa"/>
          </w:tcPr>
          <w:p w14:paraId="39CFF0EE" w14:textId="1256741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-28%</w:t>
            </w:r>
          </w:p>
        </w:tc>
        <w:tc>
          <w:tcPr>
            <w:tcW w:w="992" w:type="dxa"/>
          </w:tcPr>
          <w:p w14:paraId="1BAC2CDD" w14:textId="30D8855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498</w:t>
            </w:r>
          </w:p>
        </w:tc>
      </w:tr>
      <w:tr w:rsidR="00BA367F" w:rsidRPr="0036643D" w14:paraId="4F82A192" w14:textId="3741EBCF" w:rsidTr="005E1D5D">
        <w:tc>
          <w:tcPr>
            <w:tcW w:w="3114" w:type="dxa"/>
          </w:tcPr>
          <w:p w14:paraId="6E96C37E" w14:textId="68E66B31"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Average base &amp; Benefits/FTE (EU)</w:t>
            </w:r>
          </w:p>
        </w:tc>
        <w:tc>
          <w:tcPr>
            <w:tcW w:w="1134" w:type="dxa"/>
          </w:tcPr>
          <w:p w14:paraId="28D6A2A6" w14:textId="56566C1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-8%</w:t>
            </w:r>
          </w:p>
        </w:tc>
        <w:tc>
          <w:tcPr>
            <w:tcW w:w="1134" w:type="dxa"/>
          </w:tcPr>
          <w:p w14:paraId="4D2A871B" w14:textId="377F9F1A"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w:t>
            </w:r>
          </w:p>
        </w:tc>
        <w:tc>
          <w:tcPr>
            <w:tcW w:w="1134" w:type="dxa"/>
          </w:tcPr>
          <w:p w14:paraId="738DF79D" w14:textId="5DABFB17"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1134" w:type="dxa"/>
          </w:tcPr>
          <w:p w14:paraId="286135F3" w14:textId="568ADBE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345F851E" w14:textId="014DACA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w:t>
            </w:r>
          </w:p>
        </w:tc>
        <w:tc>
          <w:tcPr>
            <w:tcW w:w="992" w:type="dxa"/>
          </w:tcPr>
          <w:p w14:paraId="77002FA6" w14:textId="0D68461B" w:rsidR="00281E62" w:rsidRPr="00BA367F" w:rsidRDefault="00281E62" w:rsidP="00281E62">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451</w:t>
            </w:r>
          </w:p>
        </w:tc>
      </w:tr>
      <w:tr w:rsidR="00BA367F" w:rsidRPr="0036643D" w14:paraId="2D3C89E4" w14:textId="5D30F022" w:rsidTr="005E1D5D">
        <w:tc>
          <w:tcPr>
            <w:tcW w:w="3114" w:type="dxa"/>
          </w:tcPr>
          <w:p w14:paraId="2EF7DCD1" w14:textId="31755352" w:rsidR="00281E62" w:rsidRPr="00BA367F" w:rsidRDefault="00281E62" w:rsidP="0051448F">
            <w:pPr>
              <w:rPr>
                <w:rFonts w:ascii="Roboto" w:eastAsia="Calibri" w:hAnsi="Roboto" w:cs="Times New Roman"/>
                <w:color w:val="023450"/>
                <w:sz w:val="16"/>
                <w:szCs w:val="16"/>
                <w:lang w:eastAsia="sv-SE"/>
              </w:rPr>
            </w:pPr>
            <w:r w:rsidRPr="00BA367F">
              <w:rPr>
                <w:rFonts w:ascii="Roboto" w:eastAsia="Calibri" w:hAnsi="Roboto" w:cs="Times New Roman"/>
                <w:color w:val="023450"/>
                <w:sz w:val="16"/>
                <w:szCs w:val="16"/>
                <w:lang w:eastAsia="sv-SE"/>
              </w:rPr>
              <w:t>Average variable remuneration/FTE (EU)</w:t>
            </w:r>
          </w:p>
        </w:tc>
        <w:tc>
          <w:tcPr>
            <w:tcW w:w="1134" w:type="dxa"/>
          </w:tcPr>
          <w:p w14:paraId="75DF1B95" w14:textId="4FE1EB0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-74%</w:t>
            </w:r>
          </w:p>
        </w:tc>
        <w:tc>
          <w:tcPr>
            <w:tcW w:w="1134" w:type="dxa"/>
          </w:tcPr>
          <w:p w14:paraId="0B322548" w14:textId="07F41DC6"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72%</w:t>
            </w:r>
          </w:p>
        </w:tc>
        <w:tc>
          <w:tcPr>
            <w:tcW w:w="1134" w:type="dxa"/>
          </w:tcPr>
          <w:p w14:paraId="1DCD0244" w14:textId="3F0E2C6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24%</w:t>
            </w:r>
          </w:p>
        </w:tc>
        <w:tc>
          <w:tcPr>
            <w:tcW w:w="1134" w:type="dxa"/>
          </w:tcPr>
          <w:p w14:paraId="5CDCACA3" w14:textId="2E568AD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19%</w:t>
            </w:r>
          </w:p>
        </w:tc>
        <w:tc>
          <w:tcPr>
            <w:tcW w:w="1134" w:type="dxa"/>
          </w:tcPr>
          <w:p w14:paraId="18D7E36D" w14:textId="68C62E5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-23%</w:t>
            </w:r>
          </w:p>
        </w:tc>
        <w:tc>
          <w:tcPr>
            <w:tcW w:w="992" w:type="dxa"/>
          </w:tcPr>
          <w:p w14:paraId="397939DE" w14:textId="26F7B38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25</w:t>
            </w:r>
          </w:p>
        </w:tc>
      </w:tr>
      <w:tr w:rsidR="00BA367F" w:rsidRPr="0036643D" w14:paraId="1220D4E9" w14:textId="7AADDA9A" w:rsidTr="005E1D5D">
        <w:tc>
          <w:tcPr>
            <w:tcW w:w="3114" w:type="dxa"/>
          </w:tcPr>
          <w:p w14:paraId="5BE2B458" w14:textId="28BA5F76"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Average total remuneration/FTE (EU)</w:t>
            </w:r>
          </w:p>
        </w:tc>
        <w:tc>
          <w:tcPr>
            <w:tcW w:w="1134" w:type="dxa"/>
          </w:tcPr>
          <w:p w14:paraId="232D8CD5" w14:textId="03060F7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-15%</w:t>
            </w:r>
          </w:p>
        </w:tc>
        <w:tc>
          <w:tcPr>
            <w:tcW w:w="1134" w:type="dxa"/>
          </w:tcPr>
          <w:p w14:paraId="25807A55" w14:textId="23FFF57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4CE1D623" w14:textId="2505BD5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0EE0CC97" w14:textId="728DE366"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61158875" w14:textId="4BE42D3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992" w:type="dxa"/>
          </w:tcPr>
          <w:p w14:paraId="7AA847CB" w14:textId="6AF650B4"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478</w:t>
            </w:r>
          </w:p>
        </w:tc>
      </w:tr>
      <w:bookmarkEnd w:id="0"/>
    </w:tbl>
    <w:p w14:paraId="74FD1447" w14:textId="77777777" w:rsidR="002C74D6" w:rsidRPr="0036643D" w:rsidRDefault="002C74D6">
      <w:pPr>
        <w:rPr>
          <w:rFonts w:ascii="Roboto" w:eastAsia="Calibri" w:hAnsi="Roboto" w:cs="Times New Roman"/>
          <w:color w:val="023450"/>
          <w:lang w:val="en-GB" w:eastAsia="sv-SE"/>
        </w:rPr>
      </w:pPr>
    </w:p>
    <w:sectPr w:rsidR="002C74D6" w:rsidRPr="003664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96BE" w14:textId="77777777" w:rsidR="005936E4" w:rsidRDefault="005936E4" w:rsidP="00275ECB">
      <w:pPr>
        <w:spacing w:after="0" w:line="240" w:lineRule="auto"/>
      </w:pPr>
      <w:r>
        <w:separator/>
      </w:r>
    </w:p>
  </w:endnote>
  <w:endnote w:type="continuationSeparator" w:id="0">
    <w:p w14:paraId="651B91A8" w14:textId="77777777" w:rsidR="005936E4" w:rsidRDefault="005936E4" w:rsidP="0027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C80E" w14:textId="77777777" w:rsidR="005936E4" w:rsidRDefault="005936E4" w:rsidP="00275ECB">
      <w:pPr>
        <w:spacing w:after="0" w:line="240" w:lineRule="auto"/>
      </w:pPr>
      <w:r>
        <w:separator/>
      </w:r>
    </w:p>
  </w:footnote>
  <w:footnote w:type="continuationSeparator" w:id="0">
    <w:p w14:paraId="0D363E68" w14:textId="77777777" w:rsidR="005936E4" w:rsidRDefault="005936E4" w:rsidP="0027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DFB0" w14:textId="7B02765B" w:rsidR="00275ECB" w:rsidRDefault="00275ECB">
    <w:pPr>
      <w:pStyle w:val="Header"/>
    </w:pPr>
    <w:r w:rsidRPr="004E1AC4">
      <w:rPr>
        <w:noProof/>
        <w:sz w:val="20"/>
        <w:szCs w:val="20"/>
      </w:rPr>
      <w:drawing>
        <wp:inline distT="0" distB="0" distL="0" distR="0" wp14:anchorId="6C76F21D" wp14:editId="137E9AB9">
          <wp:extent cx="8096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23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E1"/>
    <w:rsid w:val="00055B51"/>
    <w:rsid w:val="000A3A5E"/>
    <w:rsid w:val="000A5A8C"/>
    <w:rsid w:val="000B31E4"/>
    <w:rsid w:val="000E25B8"/>
    <w:rsid w:val="001761BC"/>
    <w:rsid w:val="0018199A"/>
    <w:rsid w:val="001F2C05"/>
    <w:rsid w:val="00200133"/>
    <w:rsid w:val="002209C5"/>
    <w:rsid w:val="00275ECB"/>
    <w:rsid w:val="00281E62"/>
    <w:rsid w:val="00287E70"/>
    <w:rsid w:val="002914E9"/>
    <w:rsid w:val="002C74D6"/>
    <w:rsid w:val="00331CCC"/>
    <w:rsid w:val="003654D0"/>
    <w:rsid w:val="0036643D"/>
    <w:rsid w:val="003E31CE"/>
    <w:rsid w:val="00435DAC"/>
    <w:rsid w:val="004653EE"/>
    <w:rsid w:val="004B7574"/>
    <w:rsid w:val="004C3E5A"/>
    <w:rsid w:val="0051448F"/>
    <w:rsid w:val="00535641"/>
    <w:rsid w:val="005936E4"/>
    <w:rsid w:val="005A6DE3"/>
    <w:rsid w:val="005B1E95"/>
    <w:rsid w:val="005E1D5D"/>
    <w:rsid w:val="00637CB2"/>
    <w:rsid w:val="006A7AFA"/>
    <w:rsid w:val="006D4CD9"/>
    <w:rsid w:val="006D70F5"/>
    <w:rsid w:val="006E6DD2"/>
    <w:rsid w:val="007333A7"/>
    <w:rsid w:val="00747122"/>
    <w:rsid w:val="007C4FB2"/>
    <w:rsid w:val="007E3DB8"/>
    <w:rsid w:val="00825F05"/>
    <w:rsid w:val="00870E59"/>
    <w:rsid w:val="0088097C"/>
    <w:rsid w:val="0089455A"/>
    <w:rsid w:val="0092604E"/>
    <w:rsid w:val="00947E17"/>
    <w:rsid w:val="0096204D"/>
    <w:rsid w:val="009857FB"/>
    <w:rsid w:val="009920E9"/>
    <w:rsid w:val="009A5474"/>
    <w:rsid w:val="009C0D75"/>
    <w:rsid w:val="00A07ED5"/>
    <w:rsid w:val="00AC5780"/>
    <w:rsid w:val="00AF5F54"/>
    <w:rsid w:val="00B127E1"/>
    <w:rsid w:val="00B30BB1"/>
    <w:rsid w:val="00BA367F"/>
    <w:rsid w:val="00C43F1C"/>
    <w:rsid w:val="00C91C14"/>
    <w:rsid w:val="00D2282D"/>
    <w:rsid w:val="00D339E4"/>
    <w:rsid w:val="00D37A7F"/>
    <w:rsid w:val="00D55F16"/>
    <w:rsid w:val="00D766FA"/>
    <w:rsid w:val="00E24C09"/>
    <w:rsid w:val="00E24FFE"/>
    <w:rsid w:val="00EA1F31"/>
    <w:rsid w:val="00FC7892"/>
    <w:rsid w:val="00FF7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ef"/>
    </o:shapedefaults>
    <o:shapelayout v:ext="edit">
      <o:idmap v:ext="edit" data="1"/>
    </o:shapelayout>
  </w:shapeDefaults>
  <w:decimalSymbol w:val="."/>
  <w:listSeparator w:val=","/>
  <w14:docId w14:val="5DB413BB"/>
  <w15:chartTrackingRefBased/>
  <w15:docId w15:val="{B2A72407-B546-4C0E-885E-83325E4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ECB"/>
    <w:pPr>
      <w:spacing w:after="0" w:line="240" w:lineRule="auto"/>
      <w:jc w:val="center"/>
      <w:outlineLvl w:val="0"/>
    </w:pPr>
    <w:rPr>
      <w:rFonts w:ascii="Roboto" w:eastAsia="Calibri" w:hAnsi="Roboto" w:cs="Times New Roman"/>
      <w:b/>
      <w:bCs/>
      <w:color w:val="023450"/>
      <w:sz w:val="32"/>
      <w:szCs w:val="3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2D"/>
    <w:rPr>
      <w:rFonts w:ascii="Segoe UI" w:hAnsi="Segoe UI" w:cs="Segoe UI"/>
      <w:sz w:val="18"/>
      <w:szCs w:val="18"/>
    </w:rPr>
  </w:style>
  <w:style w:type="table" w:styleId="TableGrid">
    <w:name w:val="Table Grid"/>
    <w:basedOn w:val="TableNormal"/>
    <w:uiPriority w:val="39"/>
    <w:rsid w:val="002C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7E70"/>
    <w:rPr>
      <w:color w:val="0000FF"/>
      <w:u w:val="single"/>
    </w:rPr>
  </w:style>
  <w:style w:type="paragraph" w:styleId="Header">
    <w:name w:val="header"/>
    <w:basedOn w:val="Normal"/>
    <w:link w:val="HeaderChar"/>
    <w:uiPriority w:val="99"/>
    <w:unhideWhenUsed/>
    <w:rsid w:val="0027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CB"/>
  </w:style>
  <w:style w:type="paragraph" w:styleId="Footer">
    <w:name w:val="footer"/>
    <w:basedOn w:val="Normal"/>
    <w:link w:val="FooterChar"/>
    <w:uiPriority w:val="99"/>
    <w:unhideWhenUsed/>
    <w:rsid w:val="0027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CB"/>
  </w:style>
  <w:style w:type="character" w:customStyle="1" w:styleId="Heading1Char">
    <w:name w:val="Heading 1 Char"/>
    <w:basedOn w:val="DefaultParagraphFont"/>
    <w:link w:val="Heading1"/>
    <w:uiPriority w:val="9"/>
    <w:rsid w:val="00275ECB"/>
    <w:rPr>
      <w:rFonts w:ascii="Roboto" w:eastAsia="Calibri" w:hAnsi="Roboto" w:cs="Times New Roman"/>
      <w:b/>
      <w:bCs/>
      <w:color w:val="023450"/>
      <w:sz w:val="32"/>
      <w:szCs w:val="3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ijerref.com/general-me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3978-E867-481B-A9D5-9513C98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Jonsson</dc:creator>
  <cp:keywords/>
  <dc:description/>
  <cp:lastModifiedBy>Johanna Jonsson</cp:lastModifiedBy>
  <cp:revision>3</cp:revision>
  <cp:lastPrinted>2020-12-16T08:52:00Z</cp:lastPrinted>
  <dcterms:created xsi:type="dcterms:W3CDTF">2021-03-04T14:57:00Z</dcterms:created>
  <dcterms:modified xsi:type="dcterms:W3CDTF">2021-03-22T12:59:00Z</dcterms:modified>
</cp:coreProperties>
</file>